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3"/>
        <w:gridCol w:w="7393"/>
      </w:tblGrid>
      <w:tr w:rsidR="006C2606" w:rsidRPr="00DC535F" w:rsidTr="00587287">
        <w:trPr>
          <w:trHeight w:val="708"/>
        </w:trPr>
        <w:tc>
          <w:tcPr>
            <w:tcW w:w="14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4F7" w:rsidRDefault="003C64F7" w:rsidP="00587287">
            <w:pPr>
              <w:pStyle w:val="a5"/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3C64F7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Порівняльний аналіз </w:t>
            </w:r>
          </w:p>
          <w:p w:rsidR="006C2606" w:rsidRPr="00DC535F" w:rsidRDefault="00720A96" w:rsidP="00587287">
            <w:pPr>
              <w:pStyle w:val="a5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64F7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запитів на публічну інформацію 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та  </w:t>
            </w:r>
            <w:r w:rsidR="003C64F7" w:rsidRPr="003C64F7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звернень громадян </w:t>
            </w:r>
          </w:p>
        </w:tc>
      </w:tr>
      <w:tr w:rsidR="006C2606" w:rsidRPr="00DC535F" w:rsidTr="00587287">
        <w:trPr>
          <w:trHeight w:val="1664"/>
        </w:trPr>
        <w:tc>
          <w:tcPr>
            <w:tcW w:w="7393" w:type="dxa"/>
            <w:tcBorders>
              <w:top w:val="single" w:sz="4" w:space="0" w:color="auto"/>
            </w:tcBorders>
            <w:shd w:val="clear" w:color="auto" w:fill="auto"/>
          </w:tcPr>
          <w:p w:rsidR="006C2606" w:rsidRDefault="006C2606" w:rsidP="005872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535F">
              <w:rPr>
                <w:rFonts w:ascii="Times New Roman" w:hAnsi="Times New Roman"/>
                <w:sz w:val="28"/>
                <w:szCs w:val="28"/>
                <w:lang w:val="uk-UA"/>
              </w:rPr>
              <w:t>ЗВЕРНЕННЯ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ГРОМАДЯН</w:t>
            </w:r>
          </w:p>
          <w:p w:rsidR="006C2606" w:rsidRDefault="006C2606" w:rsidP="0058728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  <w:p w:rsidR="006C2606" w:rsidRPr="004422C0" w:rsidRDefault="006C2606" w:rsidP="005872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152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пропозиці</w:t>
            </w:r>
            <w:r w:rsidR="00E81B9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я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(зауваження);</w:t>
            </w:r>
          </w:p>
          <w:p w:rsidR="006C2606" w:rsidRPr="00E81B9E" w:rsidRDefault="006C2606" w:rsidP="005872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заява (</w:t>
            </w:r>
            <w:r w:rsidRPr="004D152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клопотання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)</w:t>
            </w:r>
            <w:r w:rsidR="00E81B9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;</w:t>
            </w:r>
          </w:p>
          <w:p w:rsidR="00E81B9E" w:rsidRDefault="00E81B9E" w:rsidP="005872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4D152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скарг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а.</w:t>
            </w:r>
          </w:p>
          <w:p w:rsidR="006C2606" w:rsidRPr="00DC535F" w:rsidRDefault="00A37A19" w:rsidP="0058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5C6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Потребує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аналізу та</w:t>
            </w:r>
            <w:r w:rsidRPr="00A37A1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або обробки інформації.</w:t>
            </w:r>
          </w:p>
        </w:tc>
        <w:tc>
          <w:tcPr>
            <w:tcW w:w="7393" w:type="dxa"/>
            <w:tcBorders>
              <w:top w:val="single" w:sz="4" w:space="0" w:color="auto"/>
            </w:tcBorders>
            <w:shd w:val="clear" w:color="auto" w:fill="auto"/>
          </w:tcPr>
          <w:p w:rsidR="006C2606" w:rsidRDefault="006C2606" w:rsidP="005872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535F">
              <w:rPr>
                <w:rFonts w:ascii="Times New Roman" w:hAnsi="Times New Roman"/>
                <w:sz w:val="28"/>
                <w:szCs w:val="28"/>
                <w:lang w:val="uk-UA"/>
              </w:rPr>
              <w:t>ЗАПИТ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НА ІНФОРМАЦІЮ</w:t>
            </w:r>
          </w:p>
          <w:p w:rsidR="006C2606" w:rsidRPr="00DC535F" w:rsidRDefault="006C2606" w:rsidP="005872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C2606" w:rsidRPr="00920734" w:rsidRDefault="006C2606" w:rsidP="00587287">
            <w:pPr>
              <w:shd w:val="clear" w:color="auto" w:fill="FFFFFF"/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З</w:t>
            </w:r>
            <w:proofErr w:type="spellStart"/>
            <w:r w:rsidRPr="004D152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апит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інформацію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-</w:t>
            </w:r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прохання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особи до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розпорядника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інформації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D152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надати</w:t>
            </w:r>
            <w:proofErr w:type="spellEnd"/>
            <w:r w:rsidRPr="004D152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D152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публічну</w:t>
            </w:r>
            <w:proofErr w:type="spellEnd"/>
            <w:r w:rsidRPr="004D152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D152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інформацію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знаходиться</w:t>
            </w:r>
            <w:proofErr w:type="spellEnd"/>
            <w:r w:rsidR="005F5C6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/має знаходитись </w:t>
            </w:r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його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володінні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C2606" w:rsidRPr="00A37A19" w:rsidRDefault="00A37A19" w:rsidP="005872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5C6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Не потребує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аналітичної обробки; передбачає надання інформації</w:t>
            </w:r>
            <w:r w:rsidR="005F5C6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(доступ до якої необмежений)</w:t>
            </w:r>
            <w:r w:rsidRPr="00A37A1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документа </w:t>
            </w:r>
            <w:r w:rsidR="005F5C66">
              <w:rPr>
                <w:rFonts w:ascii="Times New Roman" w:hAnsi="Times New Roman"/>
                <w:sz w:val="28"/>
                <w:szCs w:val="28"/>
                <w:lang w:val="uk-UA"/>
              </w:rPr>
              <w:t>шляхом копіювання, сканування.</w:t>
            </w:r>
          </w:p>
        </w:tc>
      </w:tr>
      <w:tr w:rsidR="006C2606" w:rsidRPr="00DC535F" w:rsidTr="00587287">
        <w:trPr>
          <w:trHeight w:val="2926"/>
        </w:trPr>
        <w:tc>
          <w:tcPr>
            <w:tcW w:w="7393" w:type="dxa"/>
            <w:shd w:val="clear" w:color="auto" w:fill="auto"/>
          </w:tcPr>
          <w:p w:rsidR="006C2606" w:rsidRPr="00DC535F" w:rsidRDefault="006C2606" w:rsidP="0058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Зі зверненнями мають право звернутися:</w:t>
            </w:r>
          </w:p>
          <w:p w:rsidR="006C2606" w:rsidRDefault="006C2606" w:rsidP="0058728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громадяни України;</w:t>
            </w:r>
          </w:p>
          <w:p w:rsidR="006C2606" w:rsidRDefault="006C2606" w:rsidP="0058728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особи, які не є громадянами України і законно знаходяться на її території.</w:t>
            </w:r>
          </w:p>
          <w:p w:rsidR="006C2606" w:rsidRPr="00DC535F" w:rsidRDefault="006C2606" w:rsidP="0058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C2606" w:rsidRPr="00920734" w:rsidRDefault="006C2606" w:rsidP="00587287">
            <w:pPr>
              <w:shd w:val="clear" w:color="auto" w:fill="FFFFFF"/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Звернення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може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бути подано як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окремою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особою</w:t>
            </w:r>
            <w:proofErr w:type="gram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індивідуальне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), так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групою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осіб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колективне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6C2606" w:rsidRPr="001A0DCC" w:rsidRDefault="006C2606" w:rsidP="0058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2606" w:rsidRPr="00DC535F" w:rsidRDefault="006C2606" w:rsidP="0058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93" w:type="dxa"/>
            <w:shd w:val="clear" w:color="auto" w:fill="auto"/>
          </w:tcPr>
          <w:p w:rsidR="006C2606" w:rsidRDefault="006C2606" w:rsidP="00587287">
            <w:pPr>
              <w:shd w:val="clear" w:color="auto" w:fill="FFFFFF"/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З</w:t>
            </w:r>
            <w:r w:rsidRPr="001A0DC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апитувач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і публічної інформації:</w:t>
            </w:r>
          </w:p>
          <w:p w:rsidR="006C2606" w:rsidRDefault="006C2606" w:rsidP="0058728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A0DC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фізичні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особи;</w:t>
            </w:r>
          </w:p>
          <w:p w:rsidR="006C2606" w:rsidRDefault="006C2606" w:rsidP="0058728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A0DC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юридичні особи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;</w:t>
            </w:r>
          </w:p>
          <w:p w:rsidR="006C2606" w:rsidRPr="001A0DCC" w:rsidRDefault="006C2606" w:rsidP="0058728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A0DC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об'єднання громадян без статусу юридичної особи.</w:t>
            </w:r>
          </w:p>
          <w:p w:rsidR="006C2606" w:rsidRDefault="006C2606" w:rsidP="00587287">
            <w:pPr>
              <w:shd w:val="clear" w:color="auto" w:fill="FFFFFF"/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bookmarkStart w:id="0" w:name="n31"/>
            <w:bookmarkEnd w:id="0"/>
          </w:p>
          <w:p w:rsidR="006C2606" w:rsidRPr="00DC535F" w:rsidRDefault="006C2606" w:rsidP="00587287">
            <w:pPr>
              <w:shd w:val="clear" w:color="auto" w:fill="FFFFFF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Запитувач</w:t>
            </w:r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має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право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звернутися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розпорядника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інформації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із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запитом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індивідуальним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колективним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незалежно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від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того,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стосується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ця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інформація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його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особисто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ні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без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пояснення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причини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подання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запиту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9306DB" w:rsidRPr="00DC535F" w:rsidTr="00587287">
        <w:trPr>
          <w:trHeight w:val="2926"/>
        </w:trPr>
        <w:tc>
          <w:tcPr>
            <w:tcW w:w="7393" w:type="dxa"/>
            <w:shd w:val="clear" w:color="auto" w:fill="auto"/>
          </w:tcPr>
          <w:p w:rsidR="009306DB" w:rsidRDefault="009306DB" w:rsidP="00587287">
            <w:pPr>
              <w:shd w:val="clear" w:color="auto" w:fill="FFFFFF"/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Звернення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може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бути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:</w:t>
            </w:r>
          </w:p>
          <w:p w:rsidR="009306DB" w:rsidRPr="006A56FA" w:rsidRDefault="009306DB" w:rsidP="0058728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36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усним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викладеним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громадянином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записаним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посадовою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особою на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особистому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прийомі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;</w:t>
            </w:r>
          </w:p>
          <w:p w:rsidR="009306DB" w:rsidRPr="00920734" w:rsidRDefault="009306DB" w:rsidP="0058728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284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письмовим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надісланим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поштою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переданим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громадянином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відповідного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органу, установи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особисто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через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уповноважену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ним особу,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якщо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ці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повноваження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оформлен</w:t>
            </w:r>
            <w:proofErr w:type="gram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відповідно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 чинного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законодавства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306DB" w:rsidRPr="002D1B12" w:rsidRDefault="009306DB" w:rsidP="0058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3" w:type="dxa"/>
            <w:shd w:val="clear" w:color="auto" w:fill="auto"/>
          </w:tcPr>
          <w:p w:rsidR="009306DB" w:rsidRDefault="009306DB" w:rsidP="00587287">
            <w:pPr>
              <w:shd w:val="clear" w:color="auto" w:fill="FFFFFF"/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З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апит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може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подаватися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:</w:t>
            </w:r>
          </w:p>
          <w:p w:rsidR="009306DB" w:rsidRDefault="009306DB" w:rsidP="0058728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усній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;</w:t>
            </w:r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306DB" w:rsidRDefault="009306DB" w:rsidP="0058728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письмовій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;</w:t>
            </w:r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306DB" w:rsidRDefault="009306DB" w:rsidP="00587287">
            <w:pPr>
              <w:shd w:val="clear" w:color="auto" w:fill="FFFFFF"/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іншій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формі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поштою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факсом, телефоном,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електронною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поштою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на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вибі</w:t>
            </w:r>
            <w:proofErr w:type="gram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запитувача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9306DB" w:rsidRPr="00DC535F" w:rsidTr="00587287">
        <w:trPr>
          <w:trHeight w:val="2315"/>
        </w:trPr>
        <w:tc>
          <w:tcPr>
            <w:tcW w:w="7393" w:type="dxa"/>
            <w:shd w:val="clear" w:color="auto" w:fill="auto"/>
          </w:tcPr>
          <w:p w:rsidR="009306DB" w:rsidRDefault="009306DB" w:rsidP="00587287">
            <w:pPr>
              <w:shd w:val="clear" w:color="auto" w:fill="FFFFFF"/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lastRenderedPageBreak/>
              <w:t>У з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вернен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ні</w:t>
            </w:r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має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бути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зазначено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прізвище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ім'я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по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батькові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місце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проживання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громадянина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викладено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суть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порушеного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питання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зауваження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пропозиції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заяви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скарги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прохання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вимоги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306DB" w:rsidRPr="00E81B9E" w:rsidRDefault="009306DB" w:rsidP="00587287">
            <w:pPr>
              <w:shd w:val="clear" w:color="auto" w:fill="FFFFFF"/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Письмове звернення повинно бути підписано заявником (заявниками) із зазначенням дати.</w:t>
            </w:r>
          </w:p>
          <w:p w:rsidR="009306DB" w:rsidRDefault="009306DB" w:rsidP="0058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93" w:type="dxa"/>
            <w:shd w:val="clear" w:color="auto" w:fill="auto"/>
          </w:tcPr>
          <w:p w:rsidR="009306DB" w:rsidRPr="00E50BF9" w:rsidRDefault="009306DB" w:rsidP="00587287">
            <w:pPr>
              <w:shd w:val="clear" w:color="auto" w:fill="FFFFFF"/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E50BF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Письмовий запит подається в довільній формі та повинен містити: ім'я (найменування) запитувача, поштову адресу або адресу електронної пошти, а також номер засобу зв'язку, якщо такий є; загальний опис інформації або вид, назву, реквізити чи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зміст документа, щодо якого зроблено запит,</w:t>
            </w:r>
            <w:r w:rsidRPr="00E50BF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підпис і дату за умови подання  запиту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письмовій формі</w:t>
            </w:r>
            <w:r w:rsidRPr="00E50BF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  <w:p w:rsidR="009306DB" w:rsidRDefault="009306DB" w:rsidP="00587287">
            <w:pPr>
              <w:shd w:val="clear" w:color="auto" w:fill="FFFFFF"/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bookmarkStart w:id="1" w:name="n33"/>
            <w:bookmarkEnd w:id="1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О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соба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може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подавати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запит шляхом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заповнення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відповідних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форм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запитів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інформацію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які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можна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отримати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розпорядника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інформації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та на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його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офіційному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веб-сайті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9306DB" w:rsidRPr="00DC535F" w:rsidTr="00587287">
        <w:trPr>
          <w:trHeight w:val="3228"/>
        </w:trPr>
        <w:tc>
          <w:tcPr>
            <w:tcW w:w="7393" w:type="dxa"/>
            <w:shd w:val="clear" w:color="auto" w:fill="auto"/>
          </w:tcPr>
          <w:p w:rsidR="009306DB" w:rsidRDefault="009306DB" w:rsidP="00587287">
            <w:pPr>
              <w:shd w:val="clear" w:color="auto" w:fill="FFFFFF"/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bookmarkStart w:id="2" w:name="n27"/>
            <w:bookmarkEnd w:id="2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З</w:t>
            </w:r>
            <w:r w:rsidRPr="001A0DC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вернення розгл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ядаються і вирішуються у термін:</w:t>
            </w:r>
          </w:p>
          <w:p w:rsidR="009306DB" w:rsidRPr="002C33A2" w:rsidRDefault="009306DB" w:rsidP="0058728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33A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не більше одного місяця </w:t>
            </w:r>
            <w:r w:rsidRPr="001A0DC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від дня їх надходження</w:t>
            </w:r>
          </w:p>
          <w:p w:rsidR="009306DB" w:rsidRPr="002C33A2" w:rsidRDefault="009306DB" w:rsidP="0058728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0DC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невідкладно, які не потребують додаткового вивчення,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але </w:t>
            </w:r>
            <w:r w:rsidRPr="002C33A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не пізніше п'ятнадцяти днів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від дня їх отримання</w:t>
            </w:r>
            <w:bookmarkStart w:id="3" w:name="n45"/>
            <w:bookmarkEnd w:id="3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;</w:t>
            </w:r>
          </w:p>
          <w:p w:rsidR="009306DB" w:rsidRPr="002C33A2" w:rsidRDefault="009306DB" w:rsidP="00587287">
            <w:pPr>
              <w:shd w:val="clear" w:color="auto" w:fill="FFFFFF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З</w:t>
            </w:r>
            <w:proofErr w:type="spellStart"/>
            <w:r w:rsidRPr="002C33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агальний</w:t>
            </w:r>
            <w:proofErr w:type="spellEnd"/>
            <w:r w:rsidRPr="002C33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33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термін</w:t>
            </w:r>
            <w:proofErr w:type="spellEnd"/>
            <w:r w:rsidRPr="002C33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33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вирішення</w:t>
            </w:r>
            <w:proofErr w:type="spellEnd"/>
            <w:r w:rsidRPr="002C33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33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питань</w:t>
            </w:r>
            <w:proofErr w:type="spellEnd"/>
            <w:r w:rsidRPr="002C33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C33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порушених</w:t>
            </w:r>
            <w:proofErr w:type="spellEnd"/>
            <w:r w:rsidRPr="002C33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2C33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зверненні</w:t>
            </w:r>
            <w:proofErr w:type="spellEnd"/>
            <w:r w:rsidRPr="002C33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не </w:t>
            </w:r>
            <w:proofErr w:type="spellStart"/>
            <w:r w:rsidRPr="002C33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може</w:t>
            </w:r>
            <w:proofErr w:type="spellEnd"/>
            <w:r w:rsidRPr="002C33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33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перевищувати</w:t>
            </w:r>
            <w:proofErr w:type="spellEnd"/>
            <w:r w:rsidRPr="002C33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C33A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сорока </w:t>
            </w:r>
            <w:proofErr w:type="spellStart"/>
            <w:r w:rsidRPr="002C33A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п'яти</w:t>
            </w:r>
            <w:proofErr w:type="spellEnd"/>
            <w:r w:rsidRPr="002C33A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33A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днів</w:t>
            </w:r>
            <w:proofErr w:type="spellEnd"/>
            <w:r w:rsidRPr="002C33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306DB" w:rsidRDefault="009306DB" w:rsidP="00587287">
            <w:pPr>
              <w:shd w:val="clear" w:color="auto" w:fill="FFFFFF"/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bookmarkStart w:id="4" w:name="n46"/>
            <w:bookmarkStart w:id="5" w:name="n47"/>
            <w:bookmarkEnd w:id="4"/>
            <w:bookmarkEnd w:id="5"/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Звернення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громадян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які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мають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встановлені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законодавством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ільги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розглядаються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першочерговому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порядку.</w:t>
            </w:r>
          </w:p>
          <w:p w:rsidR="009306DB" w:rsidRDefault="009306DB" w:rsidP="00587287">
            <w:pPr>
              <w:shd w:val="clear" w:color="auto" w:fill="FFFFFF"/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306DB" w:rsidRDefault="009306DB" w:rsidP="00587287">
            <w:pPr>
              <w:shd w:val="clear" w:color="auto" w:fill="FFFFFF"/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306DB" w:rsidRDefault="009306DB" w:rsidP="00587287">
            <w:pPr>
              <w:shd w:val="clear" w:color="auto" w:fill="FFFFFF"/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306DB" w:rsidRPr="009306DB" w:rsidRDefault="009306DB" w:rsidP="00587287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393" w:type="dxa"/>
            <w:shd w:val="clear" w:color="auto" w:fill="auto"/>
          </w:tcPr>
          <w:p w:rsidR="009306DB" w:rsidRPr="00336020" w:rsidRDefault="009306DB" w:rsidP="00587287">
            <w:pPr>
              <w:shd w:val="clear" w:color="auto" w:fill="FFFFFF"/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Р</w:t>
            </w:r>
            <w:r w:rsidRPr="0033602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озпорядник інформації має надати відповідь не пізніше </w:t>
            </w:r>
            <w:r w:rsidRPr="00A7349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5 робочих днів</w:t>
            </w:r>
            <w:r w:rsidRPr="0033602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з дня отримання запиту.</w:t>
            </w:r>
          </w:p>
          <w:p w:rsidR="009306DB" w:rsidRPr="00920734" w:rsidRDefault="009306DB" w:rsidP="00587287">
            <w:pPr>
              <w:shd w:val="clear" w:color="auto" w:fill="FFFFFF"/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6" w:name="n42"/>
            <w:bookmarkEnd w:id="6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С</w:t>
            </w:r>
            <w:r w:rsidRPr="00C92AC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трок розгляду запиту розпорядник інформації може продовжити до </w:t>
            </w:r>
            <w:r w:rsidRPr="00C92AC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20 робочих днів</w:t>
            </w:r>
            <w:r w:rsidRPr="00C92AC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у разі, якщо запит стосується надання великого обсягу інформації або потребує пошуку інформації серед значної кількості даних. </w:t>
            </w:r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продовження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строку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розпорядник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інформації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повідомляє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запитувача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письмовій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формі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не </w:t>
            </w:r>
            <w:proofErr w:type="spellStart"/>
            <w:proofErr w:type="gram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ізніше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п'яти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робочих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днів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дня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отримання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запиту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306DB" w:rsidRPr="00E50BF9" w:rsidRDefault="009306DB" w:rsidP="00587287">
            <w:pPr>
              <w:shd w:val="clear" w:color="auto" w:fill="FFFFFF"/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bookmarkStart w:id="7" w:name="n43"/>
            <w:bookmarkEnd w:id="7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разі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якщо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запит на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інформацію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стосується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інформації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необхідної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захисту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життя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свободи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особи,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щодо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стану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довкілля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якості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харчових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продуктів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предметів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побуту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аварій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катастроф,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небезпечних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природних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явищ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інших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надзвичайних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подій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сталися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можуть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статись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загрожують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безпеці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громадян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відповідь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має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бути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надана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не </w:t>
            </w:r>
            <w:proofErr w:type="spellStart"/>
            <w:proofErr w:type="gram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ізніше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349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48 годин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дня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отримання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запиту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9306DB" w:rsidRPr="00DC535F" w:rsidTr="00587287">
        <w:trPr>
          <w:trHeight w:val="3228"/>
        </w:trPr>
        <w:tc>
          <w:tcPr>
            <w:tcW w:w="7393" w:type="dxa"/>
            <w:shd w:val="clear" w:color="auto" w:fill="auto"/>
          </w:tcPr>
          <w:p w:rsidR="009306DB" w:rsidRDefault="009306DB" w:rsidP="00587287">
            <w:pPr>
              <w:shd w:val="clear" w:color="auto" w:fill="FFFFFF"/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lastRenderedPageBreak/>
              <w:t>З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вернення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розглядаються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органами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державної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влади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місцевого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самоврядування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підприємствами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установами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організаціями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незалежно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від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форм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власності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об'єднаннями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громадян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посадовими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особами </w:t>
            </w:r>
            <w:proofErr w:type="spellStart"/>
            <w:r w:rsidRPr="00A7349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безоплатно</w:t>
            </w:r>
            <w:proofErr w:type="spellEnd"/>
            <w:r w:rsidRPr="00A7349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93" w:type="dxa"/>
            <w:shd w:val="clear" w:color="auto" w:fill="auto"/>
          </w:tcPr>
          <w:p w:rsidR="009306DB" w:rsidRPr="00A73497" w:rsidRDefault="009306DB" w:rsidP="00587287">
            <w:pPr>
              <w:shd w:val="clear" w:color="auto" w:fill="FFFFFF"/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Розгляд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запитів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інформацію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здійснюється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349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безкоштовно</w:t>
            </w:r>
            <w:proofErr w:type="spellEnd"/>
            <w:r w:rsidRPr="00A7349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  <w:p w:rsidR="009306DB" w:rsidRPr="00920734" w:rsidRDefault="009306DB" w:rsidP="00587287">
            <w:pPr>
              <w:shd w:val="clear" w:color="auto" w:fill="FFFFFF"/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8" w:name="n50"/>
            <w:bookmarkEnd w:id="8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Я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кщо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задоволення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запиту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інформацію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передбачає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виготовлення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копій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документів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обсягом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більш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ніж</w:t>
            </w:r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10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сторінок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запитувач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зобов'язаний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відшкодувати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фактичні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витрати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копіювання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друк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розмірі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визначеному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розпорядником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межах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граничних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норм,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встановлених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Кабінетом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Міністрів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України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Якщо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розпорядник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інформації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встановив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розміру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плати </w:t>
            </w:r>
            <w:proofErr w:type="gram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</w:t>
            </w:r>
            <w:proofErr w:type="gram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копіювання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друк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інформац</w:t>
            </w:r>
            <w:r w:rsidR="00C776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ія</w:t>
            </w:r>
            <w:proofErr w:type="spellEnd"/>
            <w:r w:rsidR="00C776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776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надається</w:t>
            </w:r>
            <w:proofErr w:type="spellEnd"/>
            <w:r w:rsidR="00C776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776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безкоштовно</w:t>
            </w:r>
            <w:proofErr w:type="spellEnd"/>
            <w:r w:rsidR="00C776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C776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Проте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при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наданні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особі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інформації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</w:t>
            </w:r>
            <w:proofErr w:type="gram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себе та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інформації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становить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суспільний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інтерес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плата за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копіювання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друк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стягується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306DB" w:rsidRPr="009306DB" w:rsidRDefault="009306DB" w:rsidP="00587287">
            <w:pPr>
              <w:shd w:val="clear" w:color="auto" w:fill="FFFFFF"/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306DB" w:rsidRPr="00DC535F" w:rsidTr="00587287">
        <w:trPr>
          <w:trHeight w:val="1751"/>
        </w:trPr>
        <w:tc>
          <w:tcPr>
            <w:tcW w:w="7393" w:type="dxa"/>
            <w:shd w:val="clear" w:color="auto" w:fill="auto"/>
          </w:tcPr>
          <w:p w:rsidR="009306DB" w:rsidRPr="00920734" w:rsidRDefault="009306DB" w:rsidP="00587287">
            <w:pPr>
              <w:shd w:val="clear" w:color="auto" w:fill="FFFFFF"/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Письмове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звернення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без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зазначення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місця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проживання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не </w:t>
            </w:r>
            <w:proofErr w:type="spellStart"/>
            <w:proofErr w:type="gram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ідписане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автором (авторами), а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також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таке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якого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неможливо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встановити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авторство,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визнається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анонімним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розгляду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підлягає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306DB" w:rsidRPr="009306DB" w:rsidRDefault="009306DB" w:rsidP="00587287">
            <w:pPr>
              <w:ind w:firstLine="7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  <w:shd w:val="clear" w:color="auto" w:fill="auto"/>
          </w:tcPr>
          <w:p w:rsidR="009306DB" w:rsidRDefault="009306DB" w:rsidP="00587287">
            <w:pPr>
              <w:shd w:val="clear" w:color="auto" w:fill="FFFFFF"/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ідмов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а</w:t>
            </w:r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задоволенні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запиту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розпорядниками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інформації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9306DB" w:rsidRDefault="009306DB" w:rsidP="0058728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36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коли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він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володіє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інформацією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зобов'язаний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відповідно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його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компетенції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передбаченої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законодавством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володіти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інформацією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щодо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якої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зроблено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запит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;</w:t>
            </w:r>
          </w:p>
          <w:p w:rsidR="009306DB" w:rsidRDefault="009306DB" w:rsidP="0058728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404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коли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інформація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запитується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належить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категорії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нформації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обмеженим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доступом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;</w:t>
            </w:r>
          </w:p>
          <w:p w:rsidR="009306DB" w:rsidRDefault="009306DB" w:rsidP="0058728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404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особа, яка подала запит на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інформацію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не оплатила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фактичні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витрати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пов'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язан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копіюванням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друком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;</w:t>
            </w:r>
          </w:p>
          <w:p w:rsidR="009306DB" w:rsidRPr="00E50BF9" w:rsidRDefault="009306DB" w:rsidP="0058728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gram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разі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недотримання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вимог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запиту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інформацію</w:t>
            </w:r>
            <w:proofErr w:type="spellEnd"/>
            <w:r w:rsidRPr="009207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7D4597" w:rsidRDefault="0052412A" w:rsidP="00F71DBF">
      <w:pPr>
        <w:spacing w:line="240" w:lineRule="auto"/>
        <w:ind w:left="680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Загальний відділ</w:t>
      </w:r>
      <w:r w:rsidR="002033EC">
        <w:rPr>
          <w:rFonts w:ascii="Times New Roman" w:hAnsi="Times New Roman"/>
          <w:sz w:val="24"/>
          <w:szCs w:val="24"/>
          <w:lang w:val="uk-UA"/>
        </w:rPr>
        <w:t xml:space="preserve"> та контролю</w:t>
      </w:r>
      <w:r>
        <w:rPr>
          <w:rFonts w:ascii="Times New Roman" w:hAnsi="Times New Roman"/>
          <w:sz w:val="24"/>
          <w:szCs w:val="24"/>
          <w:lang w:val="uk-UA"/>
        </w:rPr>
        <w:t xml:space="preserve"> апарату </w:t>
      </w:r>
      <w:r w:rsidR="002033EC">
        <w:rPr>
          <w:rFonts w:ascii="Times New Roman" w:hAnsi="Times New Roman"/>
          <w:sz w:val="24"/>
          <w:szCs w:val="24"/>
          <w:lang w:val="uk-UA"/>
        </w:rPr>
        <w:t>районної</w:t>
      </w:r>
      <w:r>
        <w:rPr>
          <w:rFonts w:ascii="Times New Roman" w:hAnsi="Times New Roman"/>
          <w:sz w:val="24"/>
          <w:szCs w:val="24"/>
          <w:lang w:val="uk-UA"/>
        </w:rPr>
        <w:t xml:space="preserve"> державної адміністрації</w:t>
      </w:r>
    </w:p>
    <w:p w:rsidR="00F9682C" w:rsidRDefault="002033EC" w:rsidP="00F71DBF">
      <w:pPr>
        <w:spacing w:line="240" w:lineRule="auto"/>
        <w:ind w:left="680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Відділ інформаційної діяльності, комунікацій з громадськістю та правового забезпечення районної</w:t>
      </w:r>
      <w:r w:rsidR="00F9682C">
        <w:rPr>
          <w:rFonts w:ascii="Times New Roman" w:hAnsi="Times New Roman"/>
          <w:sz w:val="24"/>
          <w:szCs w:val="24"/>
          <w:lang w:val="uk-UA"/>
        </w:rPr>
        <w:t xml:space="preserve"> державної адміністрації</w:t>
      </w:r>
    </w:p>
    <w:sectPr w:rsidR="00F9682C" w:rsidSect="00B05AF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1CB" w:rsidRDefault="00DF01CB" w:rsidP="00774A4F">
      <w:pPr>
        <w:spacing w:after="0" w:line="240" w:lineRule="auto"/>
      </w:pPr>
      <w:r>
        <w:separator/>
      </w:r>
    </w:p>
  </w:endnote>
  <w:endnote w:type="continuationSeparator" w:id="0">
    <w:p w:rsidR="00DF01CB" w:rsidRDefault="00DF01CB" w:rsidP="00774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1CB" w:rsidRDefault="00DF01CB" w:rsidP="00774A4F">
      <w:pPr>
        <w:spacing w:after="0" w:line="240" w:lineRule="auto"/>
      </w:pPr>
      <w:r>
        <w:separator/>
      </w:r>
    </w:p>
  </w:footnote>
  <w:footnote w:type="continuationSeparator" w:id="0">
    <w:p w:rsidR="00DF01CB" w:rsidRDefault="00DF01CB" w:rsidP="00774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85F1E"/>
    <w:multiLevelType w:val="hybridMultilevel"/>
    <w:tmpl w:val="A6B02896"/>
    <w:lvl w:ilvl="0" w:tplc="DBC258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535F"/>
    <w:rsid w:val="00030B98"/>
    <w:rsid w:val="0006069D"/>
    <w:rsid w:val="00145272"/>
    <w:rsid w:val="001A0DCC"/>
    <w:rsid w:val="001C5357"/>
    <w:rsid w:val="001E0490"/>
    <w:rsid w:val="001E0B3F"/>
    <w:rsid w:val="002033EC"/>
    <w:rsid w:val="00214883"/>
    <w:rsid w:val="00233299"/>
    <w:rsid w:val="00286216"/>
    <w:rsid w:val="002C33A2"/>
    <w:rsid w:val="002D1B12"/>
    <w:rsid w:val="00336020"/>
    <w:rsid w:val="003543ED"/>
    <w:rsid w:val="00370DDB"/>
    <w:rsid w:val="003C362A"/>
    <w:rsid w:val="003C64F7"/>
    <w:rsid w:val="003E24C0"/>
    <w:rsid w:val="0040322C"/>
    <w:rsid w:val="00422E3A"/>
    <w:rsid w:val="004422C0"/>
    <w:rsid w:val="00491EAF"/>
    <w:rsid w:val="004A04FB"/>
    <w:rsid w:val="004D1529"/>
    <w:rsid w:val="0052412A"/>
    <w:rsid w:val="00587287"/>
    <w:rsid w:val="005E15E7"/>
    <w:rsid w:val="005E5B8C"/>
    <w:rsid w:val="005E6FF4"/>
    <w:rsid w:val="005F5C66"/>
    <w:rsid w:val="00626828"/>
    <w:rsid w:val="00645B24"/>
    <w:rsid w:val="00672690"/>
    <w:rsid w:val="0067314E"/>
    <w:rsid w:val="006A2286"/>
    <w:rsid w:val="006A56FA"/>
    <w:rsid w:val="006A6843"/>
    <w:rsid w:val="006C2606"/>
    <w:rsid w:val="00720A96"/>
    <w:rsid w:val="00774A4F"/>
    <w:rsid w:val="007C7C07"/>
    <w:rsid w:val="007D4597"/>
    <w:rsid w:val="008256B1"/>
    <w:rsid w:val="008B6789"/>
    <w:rsid w:val="009306DB"/>
    <w:rsid w:val="0094323D"/>
    <w:rsid w:val="00945AD6"/>
    <w:rsid w:val="00957A41"/>
    <w:rsid w:val="00994F82"/>
    <w:rsid w:val="00A37A19"/>
    <w:rsid w:val="00A37B8E"/>
    <w:rsid w:val="00A73497"/>
    <w:rsid w:val="00AA5C4A"/>
    <w:rsid w:val="00AB4212"/>
    <w:rsid w:val="00AE268F"/>
    <w:rsid w:val="00AE7594"/>
    <w:rsid w:val="00B05AF9"/>
    <w:rsid w:val="00B14661"/>
    <w:rsid w:val="00B3360D"/>
    <w:rsid w:val="00B442C1"/>
    <w:rsid w:val="00C008BD"/>
    <w:rsid w:val="00C7764E"/>
    <w:rsid w:val="00C92AC8"/>
    <w:rsid w:val="00CA7630"/>
    <w:rsid w:val="00D036B9"/>
    <w:rsid w:val="00DC535F"/>
    <w:rsid w:val="00DF01CB"/>
    <w:rsid w:val="00E50BF9"/>
    <w:rsid w:val="00E81B9E"/>
    <w:rsid w:val="00EC3679"/>
    <w:rsid w:val="00F71DBF"/>
    <w:rsid w:val="00F92234"/>
    <w:rsid w:val="00F96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78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3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22C0"/>
    <w:pPr>
      <w:ind w:left="708"/>
    </w:pPr>
  </w:style>
  <w:style w:type="paragraph" w:styleId="a5">
    <w:name w:val="header"/>
    <w:basedOn w:val="a"/>
    <w:link w:val="a6"/>
    <w:uiPriority w:val="99"/>
    <w:unhideWhenUsed/>
    <w:rsid w:val="00774A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74A4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74A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74A4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D4D4A-4C86-4263-BEEA-B9200D636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762</Words>
  <Characters>4349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Soronovich</dc:creator>
  <cp:lastModifiedBy>РДА</cp:lastModifiedBy>
  <cp:revision>3</cp:revision>
  <dcterms:created xsi:type="dcterms:W3CDTF">2019-09-06T12:50:00Z</dcterms:created>
  <dcterms:modified xsi:type="dcterms:W3CDTF">2019-09-06T12:53:00Z</dcterms:modified>
</cp:coreProperties>
</file>